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BC8FF" w14:textId="38098B17" w:rsidR="00F318AB" w:rsidRPr="00311EA8" w:rsidRDefault="00F318AB" w:rsidP="00F318AB">
      <w:pPr>
        <w:jc w:val="center"/>
        <w:rPr>
          <w:b/>
          <w:bCs/>
          <w:color w:val="4EA72E" w:themeColor="accent6"/>
          <w:sz w:val="32"/>
          <w:szCs w:val="32"/>
        </w:rPr>
      </w:pPr>
      <w:r w:rsidRPr="00311EA8">
        <w:rPr>
          <w:b/>
          <w:bCs/>
          <w:color w:val="4EA72E" w:themeColor="accent6"/>
          <w:sz w:val="32"/>
          <w:szCs w:val="32"/>
        </w:rPr>
        <w:t>G</w:t>
      </w:r>
      <w:r w:rsidR="00EE0C08" w:rsidRPr="00311EA8">
        <w:rPr>
          <w:b/>
          <w:bCs/>
          <w:color w:val="4EA72E" w:themeColor="accent6"/>
          <w:sz w:val="32"/>
          <w:szCs w:val="32"/>
        </w:rPr>
        <w:t xml:space="preserve">uidance on </w:t>
      </w:r>
      <w:r w:rsidRPr="00311EA8">
        <w:rPr>
          <w:b/>
          <w:bCs/>
          <w:color w:val="4EA72E" w:themeColor="accent6"/>
          <w:sz w:val="32"/>
          <w:szCs w:val="32"/>
        </w:rPr>
        <w:t>C</w:t>
      </w:r>
      <w:r w:rsidR="00EE0C08" w:rsidRPr="00311EA8">
        <w:rPr>
          <w:b/>
          <w:bCs/>
          <w:color w:val="4EA72E" w:themeColor="accent6"/>
          <w:sz w:val="32"/>
          <w:szCs w:val="32"/>
        </w:rPr>
        <w:t xml:space="preserve">aring for the </w:t>
      </w:r>
      <w:r w:rsidRPr="00311EA8">
        <w:rPr>
          <w:b/>
          <w:bCs/>
          <w:color w:val="4EA72E" w:themeColor="accent6"/>
          <w:sz w:val="32"/>
          <w:szCs w:val="32"/>
        </w:rPr>
        <w:t>F</w:t>
      </w:r>
      <w:r w:rsidR="00EE0C08" w:rsidRPr="00311EA8">
        <w:rPr>
          <w:b/>
          <w:bCs/>
          <w:color w:val="4EA72E" w:themeColor="accent6"/>
          <w:sz w:val="32"/>
          <w:szCs w:val="32"/>
        </w:rPr>
        <w:t xml:space="preserve">amily of a </w:t>
      </w:r>
      <w:r w:rsidRPr="00311EA8">
        <w:rPr>
          <w:b/>
          <w:bCs/>
          <w:color w:val="4EA72E" w:themeColor="accent6"/>
          <w:sz w:val="32"/>
          <w:szCs w:val="32"/>
        </w:rPr>
        <w:t>V</w:t>
      </w:r>
      <w:r w:rsidR="00EE0C08" w:rsidRPr="00311EA8">
        <w:rPr>
          <w:b/>
          <w:bCs/>
          <w:color w:val="4EA72E" w:themeColor="accent6"/>
          <w:sz w:val="32"/>
          <w:szCs w:val="32"/>
        </w:rPr>
        <w:t xml:space="preserve">ictim of </w:t>
      </w:r>
      <w:r w:rsidR="000353BB">
        <w:rPr>
          <w:b/>
          <w:bCs/>
          <w:color w:val="4EA72E" w:themeColor="accent6"/>
          <w:sz w:val="32"/>
          <w:szCs w:val="32"/>
        </w:rPr>
        <w:t xml:space="preserve">Serious </w:t>
      </w:r>
      <w:r w:rsidRPr="00311EA8">
        <w:rPr>
          <w:b/>
          <w:bCs/>
          <w:color w:val="4EA72E" w:themeColor="accent6"/>
          <w:sz w:val="32"/>
          <w:szCs w:val="32"/>
        </w:rPr>
        <w:t>A</w:t>
      </w:r>
      <w:r w:rsidR="00EE0C08" w:rsidRPr="00311EA8">
        <w:rPr>
          <w:b/>
          <w:bCs/>
          <w:color w:val="4EA72E" w:themeColor="accent6"/>
          <w:sz w:val="32"/>
          <w:szCs w:val="32"/>
        </w:rPr>
        <w:t>buse.</w:t>
      </w:r>
    </w:p>
    <w:p w14:paraId="5E985BCE" w14:textId="77777777" w:rsidR="00F318AB" w:rsidRDefault="00F318AB" w:rsidP="00EE0C08"/>
    <w:p w14:paraId="10FB3630" w14:textId="7191F289" w:rsidR="00EE0C08" w:rsidRDefault="00EE0C08" w:rsidP="00EE0C08">
      <w:r>
        <w:t>Supporting the victim’s family is essential for their emotional recovery, ensuring they can effectively contribute to the healing process, and maintaining a safe environment for the victim</w:t>
      </w:r>
      <w:r w:rsidR="00F318AB">
        <w:t>.</w:t>
      </w:r>
    </w:p>
    <w:p w14:paraId="105A84B7" w14:textId="77777777" w:rsidR="00EE0C08" w:rsidRDefault="00EE0C08" w:rsidP="00EE0C08"/>
    <w:p w14:paraId="7BA21993" w14:textId="77777777" w:rsidR="00EE0C08" w:rsidRDefault="00EE0C08" w:rsidP="00EE0C08">
      <w:r>
        <w:t>When abuse occurs, the victim’s family often experiences emotional distress, fear, confusion, and guilt. Supporting the family through this difficult time can provide essential emotional and psychological relief for both the victim and their loved ones. This guidance outlines key steps and considerations to care for the family of a victim of abuse.</w:t>
      </w:r>
    </w:p>
    <w:p w14:paraId="14BC05FB" w14:textId="77777777" w:rsidR="00EE0C08" w:rsidRDefault="00EE0C08" w:rsidP="00EE0C08"/>
    <w:p w14:paraId="7503691A" w14:textId="7BCE324A" w:rsidR="00F318AB" w:rsidRPr="00311EA8" w:rsidRDefault="00EE0C08" w:rsidP="00311EA8">
      <w:pPr>
        <w:rPr>
          <w:b/>
          <w:bCs/>
          <w:color w:val="4EA72E" w:themeColor="accent6"/>
        </w:rPr>
      </w:pPr>
      <w:r w:rsidRPr="00311EA8">
        <w:rPr>
          <w:b/>
          <w:bCs/>
          <w:color w:val="4EA72E" w:themeColor="accent6"/>
        </w:rPr>
        <w:t>Acknowledge the Family's Trauma and Emotions</w:t>
      </w:r>
    </w:p>
    <w:p w14:paraId="57D84501" w14:textId="0EEF5FB1" w:rsidR="00EE0C08" w:rsidRDefault="00EE0C08" w:rsidP="00EE0C08">
      <w:r w:rsidRPr="00311EA8">
        <w:rPr>
          <w:b/>
          <w:bCs/>
          <w:u w:val="single"/>
        </w:rPr>
        <w:t xml:space="preserve">Empathy and </w:t>
      </w:r>
      <w:r w:rsidR="00FF5015" w:rsidRPr="00311EA8">
        <w:rPr>
          <w:b/>
          <w:bCs/>
          <w:u w:val="single"/>
        </w:rPr>
        <w:t>understanding</w:t>
      </w:r>
      <w:r w:rsidR="00FF5015">
        <w:t>, f</w:t>
      </w:r>
      <w:r>
        <w:t>amilies of abuse victims may feel a range of emotions, including shock, anger, sadness, guilt, and helplessness. It's crucial to validate their feelings and let them know their reactions are normal.</w:t>
      </w:r>
    </w:p>
    <w:p w14:paraId="1EDC2E21" w14:textId="60C08E5F" w:rsidR="00EE0C08" w:rsidRDefault="00EE0C08" w:rsidP="00EE0C08">
      <w:r w:rsidRPr="00311EA8">
        <w:rPr>
          <w:b/>
          <w:bCs/>
          <w:u w:val="single"/>
        </w:rPr>
        <w:t>Create a Safe Spac</w:t>
      </w:r>
      <w:r w:rsidR="00FF5015" w:rsidRPr="00311EA8">
        <w:rPr>
          <w:b/>
          <w:bCs/>
          <w:u w:val="single"/>
        </w:rPr>
        <w:t>e</w:t>
      </w:r>
      <w:r w:rsidR="00FF5015">
        <w:t>, of</w:t>
      </w:r>
      <w:r>
        <w:t>fer a safe, confidential environment where family members can openly express their emotions, ask questions, and share their concerns.</w:t>
      </w:r>
    </w:p>
    <w:p w14:paraId="7FE257A4" w14:textId="772CFF69" w:rsidR="00EE0C08" w:rsidRDefault="00EE0C08" w:rsidP="00EE0C08">
      <w:r w:rsidRPr="00311EA8">
        <w:rPr>
          <w:b/>
          <w:bCs/>
          <w:u w:val="single"/>
        </w:rPr>
        <w:t>Non-Judgmental Listening</w:t>
      </w:r>
      <w:r w:rsidR="00FF5015">
        <w:t>, l</w:t>
      </w:r>
      <w:r>
        <w:t>isten carefully and without judgment. Family members may be processing the abuse in different ways, so ensure they feel heard and respected.</w:t>
      </w:r>
    </w:p>
    <w:p w14:paraId="29491C80" w14:textId="77777777" w:rsidR="00EE0C08" w:rsidRDefault="00EE0C08" w:rsidP="00EE0C08"/>
    <w:p w14:paraId="74D71FF5" w14:textId="5BDE61C9" w:rsidR="00EE0C08" w:rsidRDefault="00EE0C08" w:rsidP="00EE0C08">
      <w:r w:rsidRPr="00311EA8">
        <w:rPr>
          <w:b/>
          <w:bCs/>
          <w:i/>
          <w:iCs/>
          <w:color w:val="000000" w:themeColor="text1"/>
        </w:rPr>
        <w:t>Action Step:</w:t>
      </w:r>
      <w:r w:rsidRPr="00311EA8">
        <w:rPr>
          <w:color w:val="000000" w:themeColor="text1"/>
        </w:rPr>
        <w:t xml:space="preserve"> </w:t>
      </w:r>
      <w:r>
        <w:t xml:space="preserve">Have trained professionals (e.g., </w:t>
      </w:r>
      <w:r w:rsidR="00453EDA">
        <w:t>counsellors</w:t>
      </w:r>
      <w:r>
        <w:t>, social workers) available to provide support to the family, ensuring their emotions are handled with care.</w:t>
      </w:r>
    </w:p>
    <w:p w14:paraId="7BF1E273" w14:textId="77777777" w:rsidR="00EE0C08" w:rsidRDefault="00EE0C08" w:rsidP="00EE0C08"/>
    <w:p w14:paraId="3F6646DB" w14:textId="42E1D9DE" w:rsidR="00F318AB" w:rsidRPr="00311EA8" w:rsidRDefault="00EE0C08" w:rsidP="00311EA8">
      <w:pPr>
        <w:rPr>
          <w:b/>
          <w:bCs/>
          <w:color w:val="4EA72E" w:themeColor="accent6"/>
        </w:rPr>
      </w:pPr>
      <w:r w:rsidRPr="00311EA8">
        <w:rPr>
          <w:b/>
          <w:bCs/>
          <w:color w:val="4EA72E" w:themeColor="accent6"/>
        </w:rPr>
        <w:t>Provide Clear, Compassionate Information</w:t>
      </w:r>
    </w:p>
    <w:p w14:paraId="3EC8A0E3" w14:textId="2D79F40D" w:rsidR="00EE0C08" w:rsidRDefault="00EE0C08" w:rsidP="00EE0C08">
      <w:r w:rsidRPr="00311EA8">
        <w:rPr>
          <w:b/>
          <w:bCs/>
          <w:u w:val="single"/>
        </w:rPr>
        <w:t>Explain the Situation</w:t>
      </w:r>
      <w:r w:rsidR="00FF5015">
        <w:t>, p</w:t>
      </w:r>
      <w:r>
        <w:t>rovide clear and compassionate information about the abuse, the steps being taken to protect the victim, and the actions needed from the family. Be honest but sensitive in your communication.</w:t>
      </w:r>
    </w:p>
    <w:p w14:paraId="31D0FB02" w14:textId="278E3A04" w:rsidR="00EE0C08" w:rsidRDefault="00EE0C08" w:rsidP="00EE0C08">
      <w:r w:rsidRPr="00311EA8">
        <w:rPr>
          <w:b/>
          <w:bCs/>
          <w:u w:val="single"/>
        </w:rPr>
        <w:t>Address Concerns</w:t>
      </w:r>
      <w:r w:rsidR="00FF5015">
        <w:t>, f</w:t>
      </w:r>
      <w:r>
        <w:t>amily members may feel confused or uncertain about the abuse, the legal process, or how they should support their loved one. Offer clear explanations to help them understand what’s happening.</w:t>
      </w:r>
    </w:p>
    <w:p w14:paraId="393A4DB3" w14:textId="0BE2DB28" w:rsidR="00EE0C08" w:rsidRDefault="00EE0C08" w:rsidP="00EE0C08">
      <w:r w:rsidRPr="00311EA8">
        <w:rPr>
          <w:b/>
          <w:bCs/>
          <w:u w:val="single"/>
        </w:rPr>
        <w:t>Ongoing Communication</w:t>
      </w:r>
      <w:r w:rsidR="00FF5015">
        <w:t>, e</w:t>
      </w:r>
      <w:r>
        <w:t>nsure regular updates on the status of investigations or actions taken. Lack of information can lead to further anxiety, so keep the family informed as things progress.</w:t>
      </w:r>
    </w:p>
    <w:p w14:paraId="67BD2757" w14:textId="77777777" w:rsidR="00F318AB" w:rsidRDefault="00F318AB" w:rsidP="00EE0C08"/>
    <w:p w14:paraId="471B5A34" w14:textId="0370D8EF" w:rsidR="00EE0C08" w:rsidRDefault="00EE0C08" w:rsidP="00EE0C08">
      <w:r w:rsidRPr="00311EA8">
        <w:rPr>
          <w:b/>
          <w:bCs/>
          <w:i/>
          <w:iCs/>
        </w:rPr>
        <w:t>Action Step:</w:t>
      </w:r>
      <w:r>
        <w:t xml:space="preserve"> Develop a structured communication plan where family members receive updates at appropriate intervals, ensuring they are not left in the dark.</w:t>
      </w:r>
    </w:p>
    <w:p w14:paraId="7F604A23" w14:textId="77777777" w:rsidR="00EE0C08" w:rsidRDefault="00EE0C08" w:rsidP="00EE0C08"/>
    <w:p w14:paraId="3C866DA6" w14:textId="34AEF6AE" w:rsidR="00F318AB" w:rsidRPr="00311EA8" w:rsidRDefault="00EE0C08" w:rsidP="00311EA8">
      <w:pPr>
        <w:rPr>
          <w:b/>
          <w:bCs/>
          <w:color w:val="4EA72E" w:themeColor="accent6"/>
        </w:rPr>
      </w:pPr>
      <w:r w:rsidRPr="00311EA8">
        <w:rPr>
          <w:b/>
          <w:bCs/>
          <w:color w:val="4EA72E" w:themeColor="accent6"/>
        </w:rPr>
        <w:t>Provide Emotional and Psychological Support</w:t>
      </w:r>
    </w:p>
    <w:p w14:paraId="44330460" w14:textId="78FB2EC9" w:rsidR="00EE0C08" w:rsidRDefault="00F318AB" w:rsidP="00EE0C08">
      <w:r w:rsidRPr="00311EA8">
        <w:rPr>
          <w:b/>
          <w:bCs/>
          <w:u w:val="single"/>
        </w:rPr>
        <w:t>Counselling</w:t>
      </w:r>
      <w:r w:rsidR="00EE0C08" w:rsidRPr="00311EA8">
        <w:rPr>
          <w:b/>
          <w:bCs/>
          <w:u w:val="single"/>
        </w:rPr>
        <w:t xml:space="preserve"> for the Family</w:t>
      </w:r>
      <w:r w:rsidR="00FF5015" w:rsidRPr="00311EA8">
        <w:rPr>
          <w:b/>
          <w:bCs/>
        </w:rPr>
        <w:t>,</w:t>
      </w:r>
      <w:r w:rsidR="00FF5015">
        <w:t xml:space="preserve"> j</w:t>
      </w:r>
      <w:r w:rsidR="00EE0C08">
        <w:t xml:space="preserve">ust as the victim may require trauma-informed care, the family may need similar support. Offer access to </w:t>
      </w:r>
      <w:r>
        <w:t>counselling</w:t>
      </w:r>
      <w:r w:rsidR="00EE0C08">
        <w:t xml:space="preserve"> services where family members can process their own trauma.</w:t>
      </w:r>
    </w:p>
    <w:p w14:paraId="743BABD7" w14:textId="609D2900" w:rsidR="00EE0C08" w:rsidRDefault="00EE0C08" w:rsidP="00EE0C08">
      <w:r w:rsidRPr="00311EA8">
        <w:rPr>
          <w:b/>
          <w:bCs/>
          <w:u w:val="single"/>
        </w:rPr>
        <w:t>Family Therap</w:t>
      </w:r>
      <w:r w:rsidR="00F318AB" w:rsidRPr="00311EA8">
        <w:rPr>
          <w:b/>
          <w:bCs/>
          <w:u w:val="single"/>
        </w:rPr>
        <w:t>y</w:t>
      </w:r>
      <w:r w:rsidR="00FF5015" w:rsidRPr="00311EA8">
        <w:rPr>
          <w:b/>
          <w:bCs/>
        </w:rPr>
        <w:t>,</w:t>
      </w:r>
      <w:r w:rsidR="00FF5015">
        <w:t xml:space="preserve"> c</w:t>
      </w:r>
      <w:r>
        <w:t>onsider organizing family therapy sessions that focus on how to cope with the abuse and its impact on family dynamics. This helps the family function as a support system for the victim and for one another.</w:t>
      </w:r>
    </w:p>
    <w:p w14:paraId="303C568F" w14:textId="3FD52044" w:rsidR="00EE0C08" w:rsidRDefault="00EE0C08" w:rsidP="00EE0C08">
      <w:r w:rsidRPr="00311EA8">
        <w:rPr>
          <w:b/>
          <w:bCs/>
          <w:u w:val="single"/>
        </w:rPr>
        <w:t>Peer Support Groups</w:t>
      </w:r>
      <w:r w:rsidR="00FF5015" w:rsidRPr="00311EA8">
        <w:rPr>
          <w:b/>
          <w:bCs/>
        </w:rPr>
        <w:t>,</w:t>
      </w:r>
      <w:r w:rsidR="00FF5015">
        <w:t xml:space="preserve"> c</w:t>
      </w:r>
      <w:r>
        <w:t>onnect families with others who have been through similar experiences. Peer support groups allow family members to share their experiences and receive comfort from others who understand.</w:t>
      </w:r>
    </w:p>
    <w:p w14:paraId="15D184BE" w14:textId="77777777" w:rsidR="00EE0C08" w:rsidRPr="00311EA8" w:rsidRDefault="00EE0C08" w:rsidP="00EE0C08">
      <w:pPr>
        <w:rPr>
          <w:i/>
          <w:iCs/>
        </w:rPr>
      </w:pPr>
    </w:p>
    <w:p w14:paraId="21DE29DE" w14:textId="32AA17B6" w:rsidR="00EE0C08" w:rsidRDefault="00EE0C08" w:rsidP="00EE0C08">
      <w:r w:rsidRPr="00311EA8">
        <w:rPr>
          <w:b/>
          <w:bCs/>
          <w:i/>
          <w:iCs/>
        </w:rPr>
        <w:t>Action Step:</w:t>
      </w:r>
      <w:r>
        <w:t xml:space="preserve"> Create a list of trusted </w:t>
      </w:r>
      <w:r w:rsidR="00F318AB">
        <w:t>counselling</w:t>
      </w:r>
      <w:r>
        <w:t xml:space="preserve"> services and peer support groups specifically tailored to families of abuse victims, providing both individual and group therapy options.</w:t>
      </w:r>
    </w:p>
    <w:p w14:paraId="62F8F001" w14:textId="77777777" w:rsidR="00EE0C08" w:rsidRDefault="00EE0C08" w:rsidP="00EE0C08"/>
    <w:p w14:paraId="52AEC577" w14:textId="0249D1A1" w:rsidR="00F318AB" w:rsidRPr="00311EA8" w:rsidRDefault="00EE0C08" w:rsidP="00311EA8">
      <w:pPr>
        <w:rPr>
          <w:b/>
          <w:bCs/>
          <w:color w:val="4EA72E" w:themeColor="accent6"/>
        </w:rPr>
      </w:pPr>
      <w:r w:rsidRPr="00311EA8">
        <w:rPr>
          <w:b/>
          <w:bCs/>
          <w:color w:val="4EA72E" w:themeColor="accent6"/>
        </w:rPr>
        <w:t>Empower the Family to Support the Victim</w:t>
      </w:r>
    </w:p>
    <w:p w14:paraId="48CCCDBD" w14:textId="77C1A26F" w:rsidR="00EE0C08" w:rsidRDefault="00EE0C08" w:rsidP="00EE0C08">
      <w:r w:rsidRPr="002721F7">
        <w:rPr>
          <w:b/>
          <w:bCs/>
          <w:u w:val="single"/>
        </w:rPr>
        <w:t>Guidance on Care</w:t>
      </w:r>
      <w:r w:rsidR="00453EDA" w:rsidRPr="002721F7">
        <w:rPr>
          <w:b/>
          <w:bCs/>
        </w:rPr>
        <w:t>,</w:t>
      </w:r>
      <w:r w:rsidR="00453EDA">
        <w:t xml:space="preserve"> h</w:t>
      </w:r>
      <w:r>
        <w:t>elp the family understand how they can best support their loved one. Provide advice on topics like:</w:t>
      </w:r>
    </w:p>
    <w:p w14:paraId="73FDA07A" w14:textId="5051AD40" w:rsidR="00EE0C08" w:rsidRDefault="00EE0C08" w:rsidP="002721F7">
      <w:pPr>
        <w:pStyle w:val="ListParagraph"/>
        <w:numPr>
          <w:ilvl w:val="0"/>
          <w:numId w:val="8"/>
        </w:numPr>
      </w:pPr>
      <w:r>
        <w:t>Offering emotional support without overwhelming the victim.</w:t>
      </w:r>
    </w:p>
    <w:p w14:paraId="640259D6" w14:textId="0D0D0C73" w:rsidR="00EE0C08" w:rsidRDefault="00EE0C08" w:rsidP="002721F7">
      <w:pPr>
        <w:pStyle w:val="ListParagraph"/>
        <w:numPr>
          <w:ilvl w:val="0"/>
          <w:numId w:val="8"/>
        </w:numPr>
      </w:pPr>
      <w:r>
        <w:t>Recognizing signs of trauma and stress in the victim.</w:t>
      </w:r>
    </w:p>
    <w:p w14:paraId="5B2C5C29" w14:textId="7B928CB9" w:rsidR="00453EDA" w:rsidRDefault="00EE0C08" w:rsidP="002721F7">
      <w:pPr>
        <w:pStyle w:val="ListParagraph"/>
        <w:numPr>
          <w:ilvl w:val="0"/>
          <w:numId w:val="8"/>
        </w:numPr>
      </w:pPr>
      <w:r>
        <w:t>How to be patient and understanding throughout the healing process.</w:t>
      </w:r>
    </w:p>
    <w:p w14:paraId="6E3BFBA1" w14:textId="0E314F78" w:rsidR="00BD66F8" w:rsidRDefault="00EE0C08" w:rsidP="00EE0C08">
      <w:r w:rsidRPr="002721F7">
        <w:rPr>
          <w:b/>
          <w:bCs/>
          <w:u w:val="single"/>
        </w:rPr>
        <w:t>Avoid Blame or Pressur</w:t>
      </w:r>
      <w:r w:rsidR="00F318AB" w:rsidRPr="002721F7">
        <w:rPr>
          <w:b/>
          <w:bCs/>
          <w:u w:val="single"/>
        </w:rPr>
        <w:t>e</w:t>
      </w:r>
      <w:r w:rsidR="00453EDA" w:rsidRPr="002721F7">
        <w:rPr>
          <w:b/>
          <w:bCs/>
        </w:rPr>
        <w:t>,</w:t>
      </w:r>
      <w:r w:rsidR="00453EDA">
        <w:t xml:space="preserve"> e</w:t>
      </w:r>
      <w:r>
        <w:t>ncourage the family to avoid putting pressure on the victim or blaming themselves. Let them know that healing is a process, and they need to give their loved one time and space to recover.</w:t>
      </w:r>
    </w:p>
    <w:p w14:paraId="022CF85F" w14:textId="11337AFD" w:rsidR="00EE0C08" w:rsidRDefault="00EE0C08" w:rsidP="00EE0C08">
      <w:r w:rsidRPr="002721F7">
        <w:rPr>
          <w:b/>
          <w:bCs/>
          <w:u w:val="single"/>
        </w:rPr>
        <w:t>Recognizing Limits</w:t>
      </w:r>
      <w:r w:rsidR="00453EDA" w:rsidRPr="002721F7">
        <w:rPr>
          <w:b/>
          <w:bCs/>
        </w:rPr>
        <w:t>,</w:t>
      </w:r>
      <w:r w:rsidR="00453EDA">
        <w:t xml:space="preserve"> e</w:t>
      </w:r>
      <w:r>
        <w:t>mpower families to recognize when their loved one may need professional help and guide them on how to seek additional support.</w:t>
      </w:r>
    </w:p>
    <w:p w14:paraId="300B934B" w14:textId="77777777" w:rsidR="00F318AB" w:rsidRDefault="00F318AB" w:rsidP="00EE0C08"/>
    <w:p w14:paraId="61C2BEC4" w14:textId="7639F649" w:rsidR="00EE0C08" w:rsidRDefault="00EE0C08" w:rsidP="00EE0C08">
      <w:r w:rsidRPr="002721F7">
        <w:rPr>
          <w:b/>
          <w:bCs/>
          <w:i/>
          <w:iCs/>
        </w:rPr>
        <w:t>Action Step:</w:t>
      </w:r>
      <w:r>
        <w:t xml:space="preserve"> Provide the family with written or verbal guidance from trauma experts on how they can play a supportive role in their loved one's recovery.</w:t>
      </w:r>
    </w:p>
    <w:p w14:paraId="68FF210E" w14:textId="77777777" w:rsidR="00453EDA" w:rsidRDefault="00453EDA" w:rsidP="00453EDA"/>
    <w:p w14:paraId="5F325116" w14:textId="03FFF074" w:rsidR="00F318AB" w:rsidRPr="002721F7" w:rsidRDefault="00EE0C08" w:rsidP="002721F7">
      <w:pPr>
        <w:rPr>
          <w:b/>
          <w:bCs/>
          <w:color w:val="4EA72E" w:themeColor="accent6"/>
        </w:rPr>
      </w:pPr>
      <w:r w:rsidRPr="002721F7">
        <w:rPr>
          <w:b/>
          <w:bCs/>
          <w:color w:val="4EA72E" w:themeColor="accent6"/>
        </w:rPr>
        <w:t>Help Navigate Practical and Legal Matters</w:t>
      </w:r>
    </w:p>
    <w:p w14:paraId="17D5495B" w14:textId="3E23DA47" w:rsidR="00EE0C08" w:rsidRDefault="00EE0C08" w:rsidP="00EE0C08">
      <w:r w:rsidRPr="002721F7">
        <w:rPr>
          <w:b/>
          <w:bCs/>
          <w:u w:val="single"/>
        </w:rPr>
        <w:t>Guidance Through Legal Processes</w:t>
      </w:r>
      <w:r w:rsidR="00453EDA" w:rsidRPr="002721F7">
        <w:rPr>
          <w:b/>
          <w:bCs/>
        </w:rPr>
        <w:t>,</w:t>
      </w:r>
      <w:r w:rsidR="00453EDA">
        <w:t xml:space="preserve"> t</w:t>
      </w:r>
      <w:r>
        <w:t>he legal process following abuse can be confusing and intimidating for families. Provide them with a liaison or advocate who can explain the steps, rights, and protections available under the law.</w:t>
      </w:r>
    </w:p>
    <w:p w14:paraId="6C6BD3D0" w14:textId="11D48F8F" w:rsidR="00EE0C08" w:rsidRDefault="00EE0C08" w:rsidP="00EE0C08">
      <w:r w:rsidRPr="002721F7">
        <w:rPr>
          <w:b/>
          <w:bCs/>
          <w:u w:val="single"/>
        </w:rPr>
        <w:t>Support for Reporting</w:t>
      </w:r>
      <w:r w:rsidR="00453EDA">
        <w:t>, f</w:t>
      </w:r>
      <w:r>
        <w:t>amilies may need support with reporting the abuse to the authorities or managing legal cases. Ensure they understand how to gather evidence, file reports, or give testimony if needed.</w:t>
      </w:r>
    </w:p>
    <w:p w14:paraId="7FA9D5C2" w14:textId="325A660B" w:rsidR="00EE0C08" w:rsidRDefault="00EE0C08" w:rsidP="00EE0C08">
      <w:r w:rsidRPr="002721F7">
        <w:rPr>
          <w:b/>
          <w:bCs/>
          <w:u w:val="single"/>
        </w:rPr>
        <w:t>Practical Assistance</w:t>
      </w:r>
      <w:r w:rsidR="00453EDA" w:rsidRPr="002721F7">
        <w:rPr>
          <w:b/>
          <w:bCs/>
        </w:rPr>
        <w:t>,</w:t>
      </w:r>
      <w:r w:rsidR="00453EDA">
        <w:t xml:space="preserve"> s</w:t>
      </w:r>
      <w:r>
        <w:t xml:space="preserve">ome families may face practical challenges </w:t>
      </w:r>
      <w:r w:rsidR="00FF5015">
        <w:t>because of</w:t>
      </w:r>
      <w:r>
        <w:t xml:space="preserve"> the abuse (e.g., financial difficulties, housing issues). Provide or refer them to services that can help with these needs, such as legal aid, financial </w:t>
      </w:r>
      <w:r w:rsidR="00453EDA">
        <w:t>counselling</w:t>
      </w:r>
      <w:r>
        <w:t>, or relocation assistance.</w:t>
      </w:r>
    </w:p>
    <w:p w14:paraId="317A75C7" w14:textId="77777777" w:rsidR="00EE0C08" w:rsidRDefault="00EE0C08" w:rsidP="00EE0C08"/>
    <w:p w14:paraId="42052856" w14:textId="6F8165A8" w:rsidR="00EE0C08" w:rsidRDefault="00EE0C08" w:rsidP="00EE0C08">
      <w:r w:rsidRPr="002721F7">
        <w:rPr>
          <w:b/>
          <w:bCs/>
          <w:i/>
          <w:iCs/>
        </w:rPr>
        <w:t>Action Step:</w:t>
      </w:r>
      <w:r>
        <w:t xml:space="preserve"> Offer families a resource pack or contact list of legal, financial, and advocacy services that can assist them throughout the process.</w:t>
      </w:r>
    </w:p>
    <w:p w14:paraId="3256034A" w14:textId="77777777" w:rsidR="00453EDA" w:rsidRPr="00453EDA" w:rsidRDefault="00453EDA" w:rsidP="00EE0C08">
      <w:pPr>
        <w:rPr>
          <w:b/>
          <w:bCs/>
        </w:rPr>
      </w:pPr>
    </w:p>
    <w:p w14:paraId="47259C5A" w14:textId="0CB857D4" w:rsidR="00453EDA" w:rsidRPr="002721F7" w:rsidRDefault="00EE0C08" w:rsidP="00EE0C08">
      <w:pPr>
        <w:rPr>
          <w:b/>
          <w:bCs/>
          <w:color w:val="4EA72E" w:themeColor="accent6"/>
        </w:rPr>
      </w:pPr>
      <w:r w:rsidRPr="002721F7">
        <w:rPr>
          <w:b/>
          <w:bCs/>
          <w:color w:val="4EA72E" w:themeColor="accent6"/>
        </w:rPr>
        <w:t>Maintain the Family’s Confidentiality and Privacy</w:t>
      </w:r>
    </w:p>
    <w:p w14:paraId="7ED6FB77" w14:textId="2CDFE4B0" w:rsidR="00EE0C08" w:rsidRDefault="00EE0C08" w:rsidP="00EE0C08">
      <w:r w:rsidRPr="002721F7">
        <w:rPr>
          <w:b/>
          <w:bCs/>
          <w:u w:val="single"/>
        </w:rPr>
        <w:t>Confidentiality of Information</w:t>
      </w:r>
      <w:r w:rsidR="00453EDA" w:rsidRPr="002721F7">
        <w:rPr>
          <w:b/>
          <w:bCs/>
        </w:rPr>
        <w:t>,</w:t>
      </w:r>
      <w:r w:rsidR="00453EDA">
        <w:t xml:space="preserve"> e</w:t>
      </w:r>
      <w:r>
        <w:t>nsure that all information shared by the family, including sensitive details about the victim or the family’s experience, is kept confidential.</w:t>
      </w:r>
    </w:p>
    <w:p w14:paraId="187A06AF" w14:textId="5AC9ECF4" w:rsidR="00EE0C08" w:rsidRDefault="00EE0C08" w:rsidP="00EE0C08">
      <w:r w:rsidRPr="002721F7">
        <w:rPr>
          <w:b/>
          <w:bCs/>
          <w:u w:val="single"/>
        </w:rPr>
        <w:t>Control of the Narrative</w:t>
      </w:r>
      <w:r w:rsidR="00453EDA" w:rsidRPr="002721F7">
        <w:rPr>
          <w:b/>
          <w:bCs/>
        </w:rPr>
        <w:t>,</w:t>
      </w:r>
      <w:r w:rsidR="00453EDA">
        <w:t xml:space="preserve"> r</w:t>
      </w:r>
      <w:r>
        <w:t>espect the family’s wishes regarding how much information is shared with others (extended family, media, friends, etc.). Some families may prefer privacy, while others may feel comfortable sharing their story.</w:t>
      </w:r>
    </w:p>
    <w:p w14:paraId="1C5F2432" w14:textId="1457C094" w:rsidR="00EE0C08" w:rsidRDefault="00EE0C08" w:rsidP="00EE0C08">
      <w:r w:rsidRPr="002721F7">
        <w:rPr>
          <w:b/>
          <w:bCs/>
          <w:u w:val="single"/>
        </w:rPr>
        <w:t>Media Protection</w:t>
      </w:r>
      <w:r w:rsidR="00453EDA" w:rsidRPr="002721F7">
        <w:rPr>
          <w:b/>
          <w:bCs/>
        </w:rPr>
        <w:t>,</w:t>
      </w:r>
      <w:r w:rsidR="00453EDA">
        <w:t xml:space="preserve"> i</w:t>
      </w:r>
      <w:r>
        <w:t>f the abuse case draws public attention, ensure that the family is protected from unwanted media attention. Provide guidance on how to handle press inquiries or social media exposure.</w:t>
      </w:r>
    </w:p>
    <w:p w14:paraId="08FC439F" w14:textId="77777777" w:rsidR="00EE0C08" w:rsidRDefault="00EE0C08" w:rsidP="00EE0C08"/>
    <w:p w14:paraId="50BAD9BE" w14:textId="7573A958" w:rsidR="00EE0C08" w:rsidRDefault="00EE0C08" w:rsidP="00EE0C08">
      <w:r w:rsidRPr="002721F7">
        <w:rPr>
          <w:b/>
          <w:bCs/>
          <w:i/>
          <w:iCs/>
        </w:rPr>
        <w:t>Action Step</w:t>
      </w:r>
      <w:r>
        <w:t xml:space="preserve">: Designate a point person who will handle all external communications, ensuring the family’s privacy is </w:t>
      </w:r>
      <w:r w:rsidR="00FF5015">
        <w:t>always protected</w:t>
      </w:r>
      <w:r>
        <w:t>.</w:t>
      </w:r>
    </w:p>
    <w:p w14:paraId="2C4BE947" w14:textId="77777777" w:rsidR="00453EDA" w:rsidRDefault="00453EDA" w:rsidP="00EE0C08"/>
    <w:p w14:paraId="69E95609" w14:textId="170E10A6" w:rsidR="00453EDA" w:rsidRPr="002721F7" w:rsidRDefault="00EE0C08" w:rsidP="00EE0C08">
      <w:pPr>
        <w:rPr>
          <w:b/>
          <w:bCs/>
          <w:color w:val="4EA72E" w:themeColor="accent6"/>
        </w:rPr>
      </w:pPr>
      <w:r w:rsidRPr="002721F7">
        <w:rPr>
          <w:b/>
          <w:bCs/>
          <w:color w:val="4EA72E" w:themeColor="accent6"/>
        </w:rPr>
        <w:t>Recognize the Long-Term Impac</w:t>
      </w:r>
      <w:r w:rsidR="00453EDA" w:rsidRPr="002721F7">
        <w:rPr>
          <w:b/>
          <w:bCs/>
          <w:color w:val="4EA72E" w:themeColor="accent6"/>
        </w:rPr>
        <w:t>t</w:t>
      </w:r>
    </w:p>
    <w:p w14:paraId="680ED117" w14:textId="2B138AE0" w:rsidR="00EE0C08" w:rsidRDefault="00EE0C08" w:rsidP="00EE0C08">
      <w:r w:rsidRPr="002721F7">
        <w:rPr>
          <w:b/>
          <w:bCs/>
          <w:u w:val="single"/>
        </w:rPr>
        <w:t>Acknowledge Long-Term Trauma</w:t>
      </w:r>
      <w:r w:rsidR="00453EDA" w:rsidRPr="002721F7">
        <w:rPr>
          <w:b/>
          <w:bCs/>
        </w:rPr>
        <w:t>,</w:t>
      </w:r>
      <w:r w:rsidR="00453EDA">
        <w:t xml:space="preserve"> a</w:t>
      </w:r>
      <w:r>
        <w:t>buse can have long-lasting effects on both the victim and their family. It’s important to recognize that the family’s emotional response may continue long after the immediate incident.</w:t>
      </w:r>
    </w:p>
    <w:p w14:paraId="1B7842F0" w14:textId="2FE09207" w:rsidR="00EE0C08" w:rsidRDefault="00EE0C08" w:rsidP="00EE0C08">
      <w:r w:rsidRPr="002721F7">
        <w:rPr>
          <w:b/>
          <w:bCs/>
          <w:u w:val="single"/>
        </w:rPr>
        <w:lastRenderedPageBreak/>
        <w:t>Provide Long-Term Support</w:t>
      </w:r>
      <w:r w:rsidR="00453EDA" w:rsidRPr="002721F7">
        <w:rPr>
          <w:b/>
          <w:bCs/>
        </w:rPr>
        <w:t>,</w:t>
      </w:r>
      <w:r w:rsidR="00453EDA">
        <w:t xml:space="preserve"> o</w:t>
      </w:r>
      <w:r>
        <w:t xml:space="preserve">ffer continued access to </w:t>
      </w:r>
      <w:r w:rsidR="00453EDA">
        <w:t>counselling</w:t>
      </w:r>
      <w:r>
        <w:t>, support groups, or other services as needed over time. Some family members may need time before they feel ready to seek help.</w:t>
      </w:r>
    </w:p>
    <w:p w14:paraId="6FACB405" w14:textId="7AC3BDA0" w:rsidR="00EE0C08" w:rsidRDefault="00EE0C08" w:rsidP="00EE0C08">
      <w:r w:rsidRPr="002721F7">
        <w:rPr>
          <w:b/>
          <w:bCs/>
          <w:u w:val="single"/>
        </w:rPr>
        <w:t>Check-In Regularly</w:t>
      </w:r>
      <w:r w:rsidR="00453EDA" w:rsidRPr="002721F7">
        <w:rPr>
          <w:b/>
          <w:bCs/>
        </w:rPr>
        <w:t>,</w:t>
      </w:r>
      <w:r w:rsidR="00453EDA">
        <w:t xml:space="preserve"> c</w:t>
      </w:r>
      <w:r>
        <w:t>ontinue to check in with the family periodically, even after the initial crisis has passed. Ensure they know they can return for help or guidance at any time.</w:t>
      </w:r>
    </w:p>
    <w:p w14:paraId="4F8324EB" w14:textId="77777777" w:rsidR="00EE0C08" w:rsidRDefault="00EE0C08" w:rsidP="00EE0C08"/>
    <w:p w14:paraId="752C2402" w14:textId="3BCF3596" w:rsidR="00EE0C08" w:rsidRDefault="00EE0C08" w:rsidP="00EE0C08">
      <w:r w:rsidRPr="002721F7">
        <w:rPr>
          <w:b/>
          <w:bCs/>
          <w:i/>
          <w:iCs/>
        </w:rPr>
        <w:t>Action Step:</w:t>
      </w:r>
      <w:r>
        <w:t xml:space="preserve"> Set up a system for long-term follow-up with the family, offering periodic check-ins and ensuring they have access to support as needed.</w:t>
      </w:r>
    </w:p>
    <w:p w14:paraId="396E5C5C" w14:textId="77777777" w:rsidR="00EE0C08" w:rsidRDefault="00EE0C08" w:rsidP="00EE0C08"/>
    <w:p w14:paraId="11294730" w14:textId="11A15F5D" w:rsidR="00453EDA" w:rsidRPr="002721F7" w:rsidRDefault="00EE0C08" w:rsidP="00EE0C08">
      <w:pPr>
        <w:rPr>
          <w:b/>
          <w:bCs/>
          <w:color w:val="4EA72E" w:themeColor="accent6"/>
        </w:rPr>
      </w:pPr>
      <w:r w:rsidRPr="002721F7">
        <w:rPr>
          <w:b/>
          <w:bCs/>
          <w:color w:val="4EA72E" w:themeColor="accent6"/>
        </w:rPr>
        <w:t>Be Aware of Secondary Trauma</w:t>
      </w:r>
    </w:p>
    <w:p w14:paraId="3CDDE17F" w14:textId="6B59BF1D" w:rsidR="00EE0C08" w:rsidRDefault="00EE0C08" w:rsidP="00EE0C08">
      <w:r w:rsidRPr="002721F7">
        <w:rPr>
          <w:b/>
          <w:bCs/>
          <w:u w:val="single"/>
        </w:rPr>
        <w:t>Understand Secondary Trauma</w:t>
      </w:r>
      <w:r w:rsidR="00453EDA" w:rsidRPr="002721F7">
        <w:rPr>
          <w:b/>
          <w:bCs/>
        </w:rPr>
        <w:t>,</w:t>
      </w:r>
      <w:r w:rsidR="00453EDA">
        <w:t xml:space="preserve"> f</w:t>
      </w:r>
      <w:r>
        <w:t>amily members may experience secondary trauma, also known as vicarious trauma, from learning about the abuse of their loved one. This can manifest as anxiety, depression, or even physical symptoms.</w:t>
      </w:r>
    </w:p>
    <w:p w14:paraId="2720880D" w14:textId="3657921C" w:rsidR="00EE0C08" w:rsidRDefault="00EE0C08" w:rsidP="00EE0C08">
      <w:r w:rsidRPr="002721F7">
        <w:rPr>
          <w:b/>
          <w:bCs/>
          <w:u w:val="single"/>
        </w:rPr>
        <w:t>Provide Education</w:t>
      </w:r>
      <w:r w:rsidR="00453EDA">
        <w:t>, e</w:t>
      </w:r>
      <w:r>
        <w:t>ducate family members about the signs of secondary trauma and how they can manage it, including recognizing when professional help may be needed.</w:t>
      </w:r>
    </w:p>
    <w:p w14:paraId="26101611" w14:textId="0ADDC9AA" w:rsidR="00EE0C08" w:rsidRDefault="00EE0C08" w:rsidP="00EE0C08">
      <w:r w:rsidRPr="002721F7">
        <w:rPr>
          <w:b/>
          <w:bCs/>
          <w:u w:val="single"/>
        </w:rPr>
        <w:t>Encourage Self-Care</w:t>
      </w:r>
      <w:r w:rsidR="00453EDA" w:rsidRPr="002721F7">
        <w:rPr>
          <w:b/>
          <w:bCs/>
        </w:rPr>
        <w:t>,</w:t>
      </w:r>
      <w:r w:rsidR="00453EDA">
        <w:t xml:space="preserve"> e</w:t>
      </w:r>
      <w:r>
        <w:t>mphasize the importance of self-care for the family members themselves. Encourage them to take breaks, seek personal counsel</w:t>
      </w:r>
      <w:r w:rsidR="00453EDA">
        <w:t>l</w:t>
      </w:r>
      <w:r>
        <w:t>ing, and maintain healthy routines.</w:t>
      </w:r>
    </w:p>
    <w:p w14:paraId="7DE33DB3" w14:textId="77777777" w:rsidR="00453EDA" w:rsidRDefault="00453EDA" w:rsidP="00EE0C08"/>
    <w:p w14:paraId="64D9C86F" w14:textId="005EB4AB" w:rsidR="00EE0C08" w:rsidRDefault="00EE0C08" w:rsidP="00EE0C08">
      <w:r w:rsidRPr="002721F7">
        <w:rPr>
          <w:b/>
          <w:bCs/>
          <w:i/>
          <w:iCs/>
        </w:rPr>
        <w:t>Action Step:</w:t>
      </w:r>
      <w:r>
        <w:t xml:space="preserve"> Provide family members with educational materials on secondary trauma and offer access to professional mental health resources as needed.</w:t>
      </w:r>
    </w:p>
    <w:p w14:paraId="11EB3FE4" w14:textId="77777777" w:rsidR="00EE0C08" w:rsidRPr="002721F7" w:rsidRDefault="00EE0C08" w:rsidP="00EE0C08">
      <w:pPr>
        <w:rPr>
          <w:color w:val="4EA72E" w:themeColor="accent6"/>
        </w:rPr>
      </w:pPr>
    </w:p>
    <w:p w14:paraId="16BE2C8C" w14:textId="76D428F5" w:rsidR="00453EDA" w:rsidRPr="002721F7" w:rsidRDefault="00EE0C08" w:rsidP="00EE0C08">
      <w:pPr>
        <w:rPr>
          <w:b/>
          <w:bCs/>
          <w:color w:val="4EA72E" w:themeColor="accent6"/>
        </w:rPr>
      </w:pPr>
      <w:r w:rsidRPr="002721F7">
        <w:rPr>
          <w:b/>
          <w:bCs/>
          <w:color w:val="4EA72E" w:themeColor="accent6"/>
        </w:rPr>
        <w:t>Respect Cultural and Personal Differences</w:t>
      </w:r>
    </w:p>
    <w:p w14:paraId="7B910183" w14:textId="67F07B5F" w:rsidR="00EE0C08" w:rsidRDefault="00EE0C08" w:rsidP="00EE0C08">
      <w:r w:rsidRPr="002721F7">
        <w:rPr>
          <w:b/>
          <w:bCs/>
          <w:u w:val="single"/>
        </w:rPr>
        <w:t>Cultural Sensitivity</w:t>
      </w:r>
      <w:r w:rsidR="00453EDA" w:rsidRPr="002721F7">
        <w:rPr>
          <w:b/>
          <w:bCs/>
        </w:rPr>
        <w:t>,</w:t>
      </w:r>
      <w:r w:rsidR="00453EDA">
        <w:t xml:space="preserve"> f</w:t>
      </w:r>
      <w:r>
        <w:t>amilies from different cultural backgrounds may have varied perspectives on abuse and recovery. It’s crucial to approach each family with cultural sensitivity and respect their customs and beliefs.</w:t>
      </w:r>
    </w:p>
    <w:p w14:paraId="04F3FB59" w14:textId="0A8ADBF5" w:rsidR="00EE0C08" w:rsidRDefault="00EE0C08" w:rsidP="00EE0C08">
      <w:r w:rsidRPr="002721F7">
        <w:rPr>
          <w:b/>
          <w:bCs/>
          <w:u w:val="single"/>
        </w:rPr>
        <w:t>Tailored Support</w:t>
      </w:r>
      <w:r w:rsidR="00453EDA" w:rsidRPr="002721F7">
        <w:rPr>
          <w:b/>
          <w:bCs/>
        </w:rPr>
        <w:t>,</w:t>
      </w:r>
      <w:r w:rsidR="00453EDA">
        <w:t xml:space="preserve"> w</w:t>
      </w:r>
      <w:r>
        <w:t>here necessary, tailor your approach to align with the family’s cultural or religious values. This may involve working with community leaders, providing information in multiple languages, or adapting your communication style.</w:t>
      </w:r>
    </w:p>
    <w:p w14:paraId="1EFE4972" w14:textId="64D80C02" w:rsidR="00EE0C08" w:rsidRDefault="00EE0C08" w:rsidP="00EE0C08">
      <w:r w:rsidRPr="002721F7">
        <w:rPr>
          <w:b/>
          <w:bCs/>
          <w:u w:val="single"/>
        </w:rPr>
        <w:t>Avoid Generalizations</w:t>
      </w:r>
      <w:r w:rsidR="00453EDA" w:rsidRPr="002721F7">
        <w:rPr>
          <w:b/>
          <w:bCs/>
        </w:rPr>
        <w:t>,</w:t>
      </w:r>
      <w:r w:rsidR="00453EDA">
        <w:t xml:space="preserve"> r</w:t>
      </w:r>
      <w:r>
        <w:t>ecognize that each family’s reaction to abuse may differ, and there’s no “one-size-fits-all” response. Be flexible and open to adjusting your support based on the family’s unique needs and preferences.</w:t>
      </w:r>
    </w:p>
    <w:p w14:paraId="1C54522A" w14:textId="77777777" w:rsidR="00EE0C08" w:rsidRDefault="00EE0C08" w:rsidP="00EE0C08"/>
    <w:p w14:paraId="69E0CE20" w14:textId="3B48AB41" w:rsidR="00EE0C08" w:rsidRDefault="00EE0C08" w:rsidP="00EE0C08">
      <w:r w:rsidRPr="002721F7">
        <w:rPr>
          <w:b/>
          <w:bCs/>
          <w:i/>
          <w:iCs/>
        </w:rPr>
        <w:t>Action Step:</w:t>
      </w:r>
      <w:r>
        <w:t xml:space="preserve"> Collaborate with cultural or religious leaders where appropriate to ensure the family’s support aligns with their cultural values and needs.</w:t>
      </w:r>
    </w:p>
    <w:p w14:paraId="70509CA8" w14:textId="77777777" w:rsidR="00EE0C08" w:rsidRDefault="00EE0C08" w:rsidP="00EE0C08"/>
    <w:p w14:paraId="767E499E" w14:textId="0BAD03C1" w:rsidR="00453EDA" w:rsidRPr="002721F7" w:rsidRDefault="00EE0C08" w:rsidP="00EE0C08">
      <w:pPr>
        <w:rPr>
          <w:b/>
          <w:bCs/>
          <w:color w:val="4EA72E" w:themeColor="accent6"/>
        </w:rPr>
      </w:pPr>
      <w:r w:rsidRPr="002721F7">
        <w:rPr>
          <w:b/>
          <w:bCs/>
          <w:color w:val="4EA72E" w:themeColor="accent6"/>
        </w:rPr>
        <w:t>Encourage Family Resilience and Recovery</w:t>
      </w:r>
    </w:p>
    <w:p w14:paraId="6CB11634" w14:textId="4736DEEB" w:rsidR="00EE0C08" w:rsidRDefault="00EE0C08" w:rsidP="00EE0C08">
      <w:r w:rsidRPr="002721F7">
        <w:rPr>
          <w:b/>
          <w:bCs/>
          <w:u w:val="single"/>
        </w:rPr>
        <w:t>Reinforce Family Strengths</w:t>
      </w:r>
      <w:r w:rsidR="00453EDA" w:rsidRPr="002721F7">
        <w:rPr>
          <w:b/>
          <w:bCs/>
        </w:rPr>
        <w:t>,</w:t>
      </w:r>
      <w:r w:rsidR="00453EDA">
        <w:t xml:space="preserve"> f</w:t>
      </w:r>
      <w:r>
        <w:t xml:space="preserve">ocus on the family’s strengths and resilience as they navigate this difficult time. Highlight their protective and supportive </w:t>
      </w:r>
      <w:r w:rsidR="00453EDA">
        <w:t>roles and</w:t>
      </w:r>
      <w:r>
        <w:t xml:space="preserve"> acknowledge their ability to contribute positively to the victim’s healing process.</w:t>
      </w:r>
    </w:p>
    <w:p w14:paraId="60ADBE00" w14:textId="63E54AFE" w:rsidR="00EE0C08" w:rsidRDefault="00EE0C08" w:rsidP="00EE0C08">
      <w:r w:rsidRPr="002721F7">
        <w:rPr>
          <w:b/>
          <w:bCs/>
          <w:u w:val="single"/>
        </w:rPr>
        <w:t>Promote Positive Coping Strategies</w:t>
      </w:r>
      <w:r w:rsidR="00453EDA" w:rsidRPr="002721F7">
        <w:rPr>
          <w:b/>
          <w:bCs/>
        </w:rPr>
        <w:t>,</w:t>
      </w:r>
      <w:r w:rsidR="00453EDA">
        <w:t xml:space="preserve"> p</w:t>
      </w:r>
      <w:r>
        <w:t>rovide resources on positive coping mechanisms such as stress management, open communication, and maintaining routines.</w:t>
      </w:r>
    </w:p>
    <w:p w14:paraId="045F029C" w14:textId="5B2171B1" w:rsidR="00EE0C08" w:rsidRDefault="00EE0C08" w:rsidP="00EE0C08">
      <w:r w:rsidRPr="002721F7">
        <w:rPr>
          <w:b/>
          <w:bCs/>
          <w:u w:val="single"/>
        </w:rPr>
        <w:t>Celebrate Small Wins</w:t>
      </w:r>
      <w:r w:rsidR="00453EDA" w:rsidRPr="002721F7">
        <w:rPr>
          <w:b/>
          <w:bCs/>
        </w:rPr>
        <w:t>,</w:t>
      </w:r>
      <w:r w:rsidR="00453EDA">
        <w:t xml:space="preserve"> e</w:t>
      </w:r>
      <w:r>
        <w:t>ncourage families to recognize and celebrate small steps toward healing, both for themselves and for the victim. Acknowledge progress, no matter how slow or incremental it may seem.</w:t>
      </w:r>
    </w:p>
    <w:p w14:paraId="4BF3D0C5" w14:textId="77777777" w:rsidR="00EE0C08" w:rsidRDefault="00EE0C08" w:rsidP="00EE0C08"/>
    <w:p w14:paraId="639CF4F3" w14:textId="76F50BE6" w:rsidR="00EE0C08" w:rsidRDefault="00EE0C08" w:rsidP="00EE0C08">
      <w:r w:rsidRPr="002721F7">
        <w:rPr>
          <w:b/>
          <w:bCs/>
          <w:i/>
          <w:iCs/>
        </w:rPr>
        <w:t>Action Step:</w:t>
      </w:r>
      <w:r>
        <w:t xml:space="preserve"> Provide families with resources on resilience-building and positive coping techniques, encouraging them to find small victories in the recovery journey.</w:t>
      </w:r>
    </w:p>
    <w:p w14:paraId="176DF0E3" w14:textId="77777777" w:rsidR="00EE0C08" w:rsidRDefault="00EE0C08" w:rsidP="00EE0C08"/>
    <w:p w14:paraId="6FBEE970" w14:textId="5CF2DBC0" w:rsidR="00EE0C08" w:rsidRDefault="00EE0C08" w:rsidP="00EE0C08"/>
    <w:p w14:paraId="0A0E57A4" w14:textId="77777777" w:rsidR="00EE0C08" w:rsidRDefault="00EE0C08" w:rsidP="00EE0C08"/>
    <w:p w14:paraId="6344DBE8" w14:textId="0BC81F09" w:rsidR="00EE0C08" w:rsidRPr="002721F7" w:rsidRDefault="00EE0C08" w:rsidP="00EE0C08">
      <w:pPr>
        <w:rPr>
          <w:b/>
          <w:bCs/>
          <w:color w:val="4EA72E" w:themeColor="accent6"/>
        </w:rPr>
      </w:pPr>
      <w:r w:rsidRPr="002721F7">
        <w:rPr>
          <w:b/>
          <w:bCs/>
          <w:color w:val="4EA72E" w:themeColor="accent6"/>
        </w:rPr>
        <w:t>Summary of Key Components:</w:t>
      </w:r>
    </w:p>
    <w:p w14:paraId="24852A45" w14:textId="77777777" w:rsidR="00453EDA" w:rsidRDefault="00453EDA" w:rsidP="00EE0C08"/>
    <w:p w14:paraId="63B54F5C" w14:textId="004FA41D" w:rsidR="00EE0C08" w:rsidRDefault="00EE0C08" w:rsidP="002721F7">
      <w:pPr>
        <w:pStyle w:val="ListParagraph"/>
        <w:numPr>
          <w:ilvl w:val="0"/>
          <w:numId w:val="10"/>
        </w:numPr>
      </w:pPr>
      <w:r>
        <w:t>Empathy and Validation</w:t>
      </w:r>
      <w:r w:rsidR="00453EDA">
        <w:t>, a</w:t>
      </w:r>
      <w:r>
        <w:t>cknowledge the family’s emotions and provide non-judgmental support.</w:t>
      </w:r>
    </w:p>
    <w:p w14:paraId="3DB274D5" w14:textId="4F9B59A7" w:rsidR="00EE0C08" w:rsidRDefault="00EE0C08" w:rsidP="002721F7">
      <w:pPr>
        <w:pStyle w:val="ListParagraph"/>
        <w:numPr>
          <w:ilvl w:val="0"/>
          <w:numId w:val="10"/>
        </w:numPr>
      </w:pPr>
      <w:r>
        <w:t>Clear Information</w:t>
      </w:r>
      <w:r w:rsidR="00453EDA">
        <w:t>, o</w:t>
      </w:r>
      <w:r>
        <w:t>ffer clear, compassionate updates about the situation and next steps.</w:t>
      </w:r>
    </w:p>
    <w:p w14:paraId="0238E540" w14:textId="17FAF516" w:rsidR="00EE0C08" w:rsidRDefault="00EE0C08" w:rsidP="002721F7">
      <w:pPr>
        <w:pStyle w:val="ListParagraph"/>
        <w:numPr>
          <w:ilvl w:val="0"/>
          <w:numId w:val="10"/>
        </w:numPr>
      </w:pPr>
      <w:r>
        <w:t>Emotional and Psychological Support</w:t>
      </w:r>
      <w:r w:rsidR="00453EDA">
        <w:t>, p</w:t>
      </w:r>
      <w:r>
        <w:t xml:space="preserve">rovide access to </w:t>
      </w:r>
      <w:r w:rsidR="002721F7">
        <w:t>counselling</w:t>
      </w:r>
      <w:r>
        <w:t>, peer support, and guidance.</w:t>
      </w:r>
    </w:p>
    <w:p w14:paraId="5BBF81DE" w14:textId="5DDB7C8B" w:rsidR="00EE0C08" w:rsidRDefault="00EE0C08" w:rsidP="002721F7">
      <w:pPr>
        <w:pStyle w:val="ListParagraph"/>
        <w:numPr>
          <w:ilvl w:val="0"/>
          <w:numId w:val="10"/>
        </w:numPr>
      </w:pPr>
      <w:r>
        <w:t>Empowerment</w:t>
      </w:r>
      <w:r w:rsidR="001962DA">
        <w:t>, h</w:t>
      </w:r>
      <w:r>
        <w:t>elp the family understand their role in the healing process.</w:t>
      </w:r>
    </w:p>
    <w:p w14:paraId="5CE615A3" w14:textId="27AA04FB" w:rsidR="00EE0C08" w:rsidRDefault="00EE0C08" w:rsidP="002721F7">
      <w:pPr>
        <w:pStyle w:val="ListParagraph"/>
        <w:numPr>
          <w:ilvl w:val="0"/>
          <w:numId w:val="10"/>
        </w:numPr>
      </w:pPr>
      <w:r>
        <w:t>Legal and Practical Assistance</w:t>
      </w:r>
      <w:r w:rsidR="001962DA">
        <w:t>, g</w:t>
      </w:r>
      <w:r>
        <w:t>uide the family through legal processes and offer practical support.</w:t>
      </w:r>
    </w:p>
    <w:p w14:paraId="01D905F4" w14:textId="1E5BA635" w:rsidR="00EE0C08" w:rsidRDefault="00EE0C08" w:rsidP="002721F7">
      <w:pPr>
        <w:pStyle w:val="ListParagraph"/>
        <w:numPr>
          <w:ilvl w:val="0"/>
          <w:numId w:val="10"/>
        </w:numPr>
      </w:pPr>
      <w:r>
        <w:t>Confidentiality and Privacy</w:t>
      </w:r>
      <w:r w:rsidR="001962DA">
        <w:t xml:space="preserve">, </w:t>
      </w:r>
      <w:proofErr w:type="gramStart"/>
      <w:r w:rsidR="001962DA">
        <w:t>p</w:t>
      </w:r>
      <w:r>
        <w:t>rotect the family’s privacy at all times</w:t>
      </w:r>
      <w:proofErr w:type="gramEnd"/>
      <w:r>
        <w:t>.</w:t>
      </w:r>
    </w:p>
    <w:p w14:paraId="7DC61F27" w14:textId="05C989F0" w:rsidR="00EE0C08" w:rsidRDefault="00EE0C08" w:rsidP="002721F7">
      <w:pPr>
        <w:pStyle w:val="ListParagraph"/>
        <w:numPr>
          <w:ilvl w:val="0"/>
          <w:numId w:val="10"/>
        </w:numPr>
      </w:pPr>
      <w:r>
        <w:t>Long-Term Support</w:t>
      </w:r>
      <w:r w:rsidR="001962DA">
        <w:t>, r</w:t>
      </w:r>
      <w:r>
        <w:t>ecognize and address the long-term impact of abuse on the family.</w:t>
      </w:r>
    </w:p>
    <w:p w14:paraId="34A6203E" w14:textId="4AA6E096" w:rsidR="00EE0C08" w:rsidRDefault="00EE0C08" w:rsidP="002721F7">
      <w:pPr>
        <w:pStyle w:val="ListParagraph"/>
        <w:numPr>
          <w:ilvl w:val="0"/>
          <w:numId w:val="10"/>
        </w:numPr>
      </w:pPr>
      <w:r>
        <w:t>Secondary Trauma</w:t>
      </w:r>
      <w:r w:rsidR="001962DA">
        <w:t>, h</w:t>
      </w:r>
      <w:r>
        <w:t>elp the family manage secondary trauma with education and self-care.</w:t>
      </w:r>
    </w:p>
    <w:p w14:paraId="0A19AE03" w14:textId="77777777" w:rsidR="002721F7" w:rsidRDefault="00EE0C08" w:rsidP="002721F7">
      <w:pPr>
        <w:pStyle w:val="ListParagraph"/>
        <w:numPr>
          <w:ilvl w:val="0"/>
          <w:numId w:val="10"/>
        </w:numPr>
      </w:pPr>
      <w:r>
        <w:t>Cultural Sensitivity</w:t>
      </w:r>
      <w:r w:rsidR="001962DA">
        <w:t>, r</w:t>
      </w:r>
      <w:r>
        <w:t>espect and adapt to the family’s cultural and personal needs.</w:t>
      </w:r>
    </w:p>
    <w:p w14:paraId="18A6A8C9" w14:textId="18081BA8" w:rsidR="00EE0C08" w:rsidRDefault="00EE0C08" w:rsidP="002721F7">
      <w:pPr>
        <w:pStyle w:val="ListParagraph"/>
        <w:numPr>
          <w:ilvl w:val="0"/>
          <w:numId w:val="10"/>
        </w:numPr>
      </w:pPr>
      <w:r>
        <w:t>Family Resilience</w:t>
      </w:r>
      <w:r w:rsidR="001962DA">
        <w:t>, e</w:t>
      </w:r>
      <w:r>
        <w:t>ncourage resilience and positive coping strategies throughout the healing process.</w:t>
      </w:r>
    </w:p>
    <w:p w14:paraId="4CA5EC2E" w14:textId="77777777" w:rsidR="00EE0C08" w:rsidRDefault="00EE0C08" w:rsidP="00EE0C08"/>
    <w:p w14:paraId="0528CC51" w14:textId="79A3FAA6" w:rsidR="00F54817" w:rsidRDefault="00EE0C08" w:rsidP="00EE0C08">
      <w:r>
        <w:t>By following this guidance, organi</w:t>
      </w:r>
      <w:r w:rsidR="00BD66F8">
        <w:t>s</w:t>
      </w:r>
      <w:r>
        <w:t>ations can provide comprehensive care to the family of a victim of abuse, supporting their emotional well-being and enabling them to become key contributors to the victim’s recovery and healing journey.</w:t>
      </w:r>
    </w:p>
    <w:sectPr w:rsidR="00F54817" w:rsidSect="00311EA8">
      <w:headerReference w:type="default" r:id="rId7"/>
      <w:footerReference w:type="even" r:id="rId8"/>
      <w:footerReference w:type="default" r:id="rId9"/>
      <w:pgSz w:w="11900" w:h="16840"/>
      <w:pgMar w:top="157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E632F" w14:textId="77777777" w:rsidR="00A27422" w:rsidRDefault="00A27422" w:rsidP="001962DA">
      <w:r>
        <w:separator/>
      </w:r>
    </w:p>
  </w:endnote>
  <w:endnote w:type="continuationSeparator" w:id="0">
    <w:p w14:paraId="3DF751D9" w14:textId="77777777" w:rsidR="00A27422" w:rsidRDefault="00A27422" w:rsidP="0019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3165860"/>
      <w:docPartObj>
        <w:docPartGallery w:val="Page Numbers (Bottom of Page)"/>
        <w:docPartUnique/>
      </w:docPartObj>
    </w:sdtPr>
    <w:sdtContent>
      <w:p w14:paraId="4F6B645F" w14:textId="3AAE011B" w:rsidR="001962DA" w:rsidRDefault="001962DA" w:rsidP="00BD66F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81962F" w14:textId="77777777" w:rsidR="001962DA" w:rsidRDefault="001962DA" w:rsidP="00196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8814604"/>
      <w:docPartObj>
        <w:docPartGallery w:val="Page Numbers (Bottom of Page)"/>
        <w:docPartUnique/>
      </w:docPartObj>
    </w:sdtPr>
    <w:sdtContent>
      <w:p w14:paraId="0B9F1D44" w14:textId="3FAB241C" w:rsidR="001962DA" w:rsidRDefault="001962DA" w:rsidP="00BD66F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E55949" w14:textId="77777777" w:rsidR="001962DA" w:rsidRDefault="001962DA" w:rsidP="00196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199CF" w14:textId="77777777" w:rsidR="00A27422" w:rsidRDefault="00A27422" w:rsidP="001962DA">
      <w:r>
        <w:separator/>
      </w:r>
    </w:p>
  </w:footnote>
  <w:footnote w:type="continuationSeparator" w:id="0">
    <w:p w14:paraId="54A611C1" w14:textId="77777777" w:rsidR="00A27422" w:rsidRDefault="00A27422" w:rsidP="00196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1363" w14:textId="4C58CCA4" w:rsidR="00311EA8" w:rsidRDefault="00311EA8">
    <w:pPr>
      <w:pStyle w:val="Header"/>
    </w:pPr>
    <w:r>
      <w:rPr>
        <w:noProof/>
      </w:rPr>
      <w:drawing>
        <wp:inline distT="0" distB="0" distL="0" distR="0" wp14:anchorId="05AF8CB8" wp14:editId="73729049">
          <wp:extent cx="6642100" cy="379730"/>
          <wp:effectExtent l="0" t="0" r="0" b="1270"/>
          <wp:docPr id="1112321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321714" name="Picture 1112321714"/>
                  <pic:cNvPicPr/>
                </pic:nvPicPr>
                <pic:blipFill>
                  <a:blip r:embed="rId1">
                    <a:extLst>
                      <a:ext uri="{28A0092B-C50C-407E-A947-70E740481C1C}">
                        <a14:useLocalDpi xmlns:a14="http://schemas.microsoft.com/office/drawing/2010/main" val="0"/>
                      </a:ext>
                    </a:extLst>
                  </a:blip>
                  <a:stretch>
                    <a:fillRect/>
                  </a:stretch>
                </pic:blipFill>
                <pic:spPr>
                  <a:xfrm>
                    <a:off x="0" y="0"/>
                    <a:ext cx="6642100" cy="3797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4DB"/>
    <w:multiLevelType w:val="hybridMultilevel"/>
    <w:tmpl w:val="DEE0E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441BAF"/>
    <w:multiLevelType w:val="hybridMultilevel"/>
    <w:tmpl w:val="7D280288"/>
    <w:lvl w:ilvl="0" w:tplc="361677C6">
      <w:numFmt w:val="bullet"/>
      <w:lvlText w:val="-"/>
      <w:lvlJc w:val="left"/>
      <w:pPr>
        <w:ind w:left="560" w:hanging="360"/>
      </w:pPr>
      <w:rPr>
        <w:rFonts w:ascii="Aptos" w:eastAsiaTheme="minorHAnsi" w:hAnsi="Aptos" w:cstheme="minorBidi"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1D19711A"/>
    <w:multiLevelType w:val="multilevel"/>
    <w:tmpl w:val="E36C2562"/>
    <w:styleLink w:val="CurrentList2"/>
    <w:lvl w:ilvl="0">
      <w:numFmt w:val="bullet"/>
      <w:lvlText w:val="-"/>
      <w:lvlJc w:val="left"/>
      <w:pPr>
        <w:ind w:left="560" w:hanging="360"/>
      </w:pPr>
      <w:rPr>
        <w:rFonts w:ascii="Aptos" w:eastAsiaTheme="minorHAnsi" w:hAnsi="Aptos" w:cstheme="minorBidi"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 w15:restartNumberingAfterBreak="0">
    <w:nsid w:val="1F9D7DA6"/>
    <w:multiLevelType w:val="hybridMultilevel"/>
    <w:tmpl w:val="E36C2562"/>
    <w:lvl w:ilvl="0" w:tplc="361677C6">
      <w:numFmt w:val="bullet"/>
      <w:lvlText w:val="-"/>
      <w:lvlJc w:val="left"/>
      <w:pPr>
        <w:ind w:left="560" w:hanging="360"/>
      </w:pPr>
      <w:rPr>
        <w:rFonts w:ascii="Aptos" w:eastAsiaTheme="minorHAnsi" w:hAnsi="Aptos" w:cstheme="minorBidi" w:hint="default"/>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4" w15:restartNumberingAfterBreak="0">
    <w:nsid w:val="2A426FEF"/>
    <w:multiLevelType w:val="hybridMultilevel"/>
    <w:tmpl w:val="9B9658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EC7A21"/>
    <w:multiLevelType w:val="hybridMultilevel"/>
    <w:tmpl w:val="29ACF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FB2BF8"/>
    <w:multiLevelType w:val="hybridMultilevel"/>
    <w:tmpl w:val="5E66CF1C"/>
    <w:lvl w:ilvl="0" w:tplc="361677C6">
      <w:numFmt w:val="bullet"/>
      <w:lvlText w:val="-"/>
      <w:lvlJc w:val="left"/>
      <w:pPr>
        <w:ind w:left="460" w:hanging="360"/>
      </w:pPr>
      <w:rPr>
        <w:rFonts w:ascii="Aptos" w:eastAsiaTheme="minorHAnsi" w:hAnsi="Aptos" w:cstheme="minorBidi"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7" w15:restartNumberingAfterBreak="0">
    <w:nsid w:val="78911252"/>
    <w:multiLevelType w:val="hybridMultilevel"/>
    <w:tmpl w:val="620CF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592012"/>
    <w:multiLevelType w:val="multilevel"/>
    <w:tmpl w:val="7D280288"/>
    <w:styleLink w:val="CurrentList1"/>
    <w:lvl w:ilvl="0">
      <w:numFmt w:val="bullet"/>
      <w:lvlText w:val="-"/>
      <w:lvlJc w:val="left"/>
      <w:pPr>
        <w:ind w:left="560" w:hanging="360"/>
      </w:pPr>
      <w:rPr>
        <w:rFonts w:ascii="Aptos" w:eastAsiaTheme="minorHAnsi" w:hAnsi="Aptos" w:cstheme="minorBidi"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9" w15:restartNumberingAfterBreak="0">
    <w:nsid w:val="7A4D29BA"/>
    <w:multiLevelType w:val="hybridMultilevel"/>
    <w:tmpl w:val="757CB9BC"/>
    <w:lvl w:ilvl="0" w:tplc="08090001">
      <w:start w:val="1"/>
      <w:numFmt w:val="bullet"/>
      <w:lvlText w:val=""/>
      <w:lvlJc w:val="left"/>
      <w:pPr>
        <w:ind w:left="560" w:hanging="360"/>
      </w:pPr>
      <w:rPr>
        <w:rFonts w:ascii="Symbol" w:hAnsi="Symbol" w:hint="default"/>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num w:numId="1" w16cid:durableId="1971551865">
    <w:abstractNumId w:val="4"/>
  </w:num>
  <w:num w:numId="2" w16cid:durableId="1464228014">
    <w:abstractNumId w:val="5"/>
  </w:num>
  <w:num w:numId="3" w16cid:durableId="1271743903">
    <w:abstractNumId w:val="6"/>
  </w:num>
  <w:num w:numId="4" w16cid:durableId="546143800">
    <w:abstractNumId w:val="1"/>
  </w:num>
  <w:num w:numId="5" w16cid:durableId="168445107">
    <w:abstractNumId w:val="8"/>
  </w:num>
  <w:num w:numId="6" w16cid:durableId="385882266">
    <w:abstractNumId w:val="3"/>
  </w:num>
  <w:num w:numId="7" w16cid:durableId="1415397213">
    <w:abstractNumId w:val="2"/>
  </w:num>
  <w:num w:numId="8" w16cid:durableId="1832139687">
    <w:abstractNumId w:val="9"/>
  </w:num>
  <w:num w:numId="9" w16cid:durableId="1674257389">
    <w:abstractNumId w:val="0"/>
  </w:num>
  <w:num w:numId="10" w16cid:durableId="10057453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C08"/>
    <w:rsid w:val="000353BB"/>
    <w:rsid w:val="000B309D"/>
    <w:rsid w:val="00120929"/>
    <w:rsid w:val="001962DA"/>
    <w:rsid w:val="002721F7"/>
    <w:rsid w:val="00273E97"/>
    <w:rsid w:val="00311EA8"/>
    <w:rsid w:val="003C012B"/>
    <w:rsid w:val="00425674"/>
    <w:rsid w:val="00453EDA"/>
    <w:rsid w:val="004C210D"/>
    <w:rsid w:val="00567983"/>
    <w:rsid w:val="006E3C2E"/>
    <w:rsid w:val="0097241F"/>
    <w:rsid w:val="009D4B7B"/>
    <w:rsid w:val="00A27422"/>
    <w:rsid w:val="00AD628D"/>
    <w:rsid w:val="00B7796A"/>
    <w:rsid w:val="00BD66F8"/>
    <w:rsid w:val="00C12085"/>
    <w:rsid w:val="00C95DB9"/>
    <w:rsid w:val="00DB4C50"/>
    <w:rsid w:val="00DC4844"/>
    <w:rsid w:val="00E120E9"/>
    <w:rsid w:val="00EE0C08"/>
    <w:rsid w:val="00F318AB"/>
    <w:rsid w:val="00F54817"/>
    <w:rsid w:val="00FF501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22BB93EB"/>
  <w15:chartTrackingRefBased/>
  <w15:docId w15:val="{4A9A4DE2-8D7B-3E48-9664-B687EEFF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E0C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0C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0C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0C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0C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0C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C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C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C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C08"/>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EE0C08"/>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EE0C08"/>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EE0C08"/>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EE0C08"/>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EE0C08"/>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E0C08"/>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E0C08"/>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E0C08"/>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E0C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C08"/>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E0C0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C08"/>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E0C0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0C08"/>
    <w:rPr>
      <w:i/>
      <w:iCs/>
      <w:color w:val="404040" w:themeColor="text1" w:themeTint="BF"/>
      <w:lang w:val="en-GB"/>
    </w:rPr>
  </w:style>
  <w:style w:type="paragraph" w:styleId="ListParagraph">
    <w:name w:val="List Paragraph"/>
    <w:basedOn w:val="Normal"/>
    <w:uiPriority w:val="34"/>
    <w:qFormat/>
    <w:rsid w:val="00EE0C08"/>
    <w:pPr>
      <w:ind w:left="720"/>
      <w:contextualSpacing/>
    </w:pPr>
  </w:style>
  <w:style w:type="character" w:styleId="IntenseEmphasis">
    <w:name w:val="Intense Emphasis"/>
    <w:basedOn w:val="DefaultParagraphFont"/>
    <w:uiPriority w:val="21"/>
    <w:qFormat/>
    <w:rsid w:val="00EE0C08"/>
    <w:rPr>
      <w:i/>
      <w:iCs/>
      <w:color w:val="0F4761" w:themeColor="accent1" w:themeShade="BF"/>
    </w:rPr>
  </w:style>
  <w:style w:type="paragraph" w:styleId="IntenseQuote">
    <w:name w:val="Intense Quote"/>
    <w:basedOn w:val="Normal"/>
    <w:next w:val="Normal"/>
    <w:link w:val="IntenseQuoteChar"/>
    <w:uiPriority w:val="30"/>
    <w:qFormat/>
    <w:rsid w:val="00EE0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0C08"/>
    <w:rPr>
      <w:i/>
      <w:iCs/>
      <w:color w:val="0F4761" w:themeColor="accent1" w:themeShade="BF"/>
      <w:lang w:val="en-GB"/>
    </w:rPr>
  </w:style>
  <w:style w:type="character" w:styleId="IntenseReference">
    <w:name w:val="Intense Reference"/>
    <w:basedOn w:val="DefaultParagraphFont"/>
    <w:uiPriority w:val="32"/>
    <w:qFormat/>
    <w:rsid w:val="00EE0C08"/>
    <w:rPr>
      <w:b/>
      <w:bCs/>
      <w:smallCaps/>
      <w:color w:val="0F4761" w:themeColor="accent1" w:themeShade="BF"/>
      <w:spacing w:val="5"/>
    </w:rPr>
  </w:style>
  <w:style w:type="paragraph" w:styleId="Footer">
    <w:name w:val="footer"/>
    <w:basedOn w:val="Normal"/>
    <w:link w:val="FooterChar"/>
    <w:uiPriority w:val="99"/>
    <w:unhideWhenUsed/>
    <w:rsid w:val="001962DA"/>
    <w:pPr>
      <w:tabs>
        <w:tab w:val="center" w:pos="4513"/>
        <w:tab w:val="right" w:pos="9026"/>
      </w:tabs>
    </w:pPr>
  </w:style>
  <w:style w:type="character" w:customStyle="1" w:styleId="FooterChar">
    <w:name w:val="Footer Char"/>
    <w:basedOn w:val="DefaultParagraphFont"/>
    <w:link w:val="Footer"/>
    <w:uiPriority w:val="99"/>
    <w:rsid w:val="001962DA"/>
    <w:rPr>
      <w:lang w:val="en-GB"/>
    </w:rPr>
  </w:style>
  <w:style w:type="character" w:styleId="PageNumber">
    <w:name w:val="page number"/>
    <w:basedOn w:val="DefaultParagraphFont"/>
    <w:uiPriority w:val="99"/>
    <w:semiHidden/>
    <w:unhideWhenUsed/>
    <w:rsid w:val="001962DA"/>
  </w:style>
  <w:style w:type="paragraph" w:styleId="Header">
    <w:name w:val="header"/>
    <w:basedOn w:val="Normal"/>
    <w:link w:val="HeaderChar"/>
    <w:uiPriority w:val="99"/>
    <w:unhideWhenUsed/>
    <w:rsid w:val="00311EA8"/>
    <w:pPr>
      <w:tabs>
        <w:tab w:val="center" w:pos="4513"/>
        <w:tab w:val="right" w:pos="9026"/>
      </w:tabs>
    </w:pPr>
  </w:style>
  <w:style w:type="character" w:customStyle="1" w:styleId="HeaderChar">
    <w:name w:val="Header Char"/>
    <w:basedOn w:val="DefaultParagraphFont"/>
    <w:link w:val="Header"/>
    <w:uiPriority w:val="99"/>
    <w:rsid w:val="00311EA8"/>
    <w:rPr>
      <w:lang w:val="en-GB"/>
    </w:rPr>
  </w:style>
  <w:style w:type="numbering" w:customStyle="1" w:styleId="CurrentList1">
    <w:name w:val="Current List1"/>
    <w:uiPriority w:val="99"/>
    <w:rsid w:val="002721F7"/>
    <w:pPr>
      <w:numPr>
        <w:numId w:val="5"/>
      </w:numPr>
    </w:pPr>
  </w:style>
  <w:style w:type="numbering" w:customStyle="1" w:styleId="CurrentList2">
    <w:name w:val="Current List2"/>
    <w:uiPriority w:val="99"/>
    <w:rsid w:val="002721F7"/>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1497</Words>
  <Characters>8533</Characters>
  <Application>Microsoft Office Word</Application>
  <DocSecurity>0</DocSecurity>
  <Lines>71</Lines>
  <Paragraphs>20</Paragraphs>
  <ScaleCrop>false</ScaleCrop>
  <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Neville</dc:creator>
  <cp:keywords/>
  <dc:description/>
  <cp:lastModifiedBy>Sandra Neville</cp:lastModifiedBy>
  <cp:revision>3</cp:revision>
  <dcterms:created xsi:type="dcterms:W3CDTF">2025-12-01T10:40:00Z</dcterms:created>
  <dcterms:modified xsi:type="dcterms:W3CDTF">2025-12-02T05:48:00Z</dcterms:modified>
</cp:coreProperties>
</file>